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86244E" w:rsidRPr="0086244E">
        <w:rPr>
          <w:b/>
          <w:sz w:val="28"/>
          <w:szCs w:val="28"/>
        </w:rPr>
        <w:t>Budowa ulic Stokrotki, Jodłowej, Platanowej, Cyprysowej, Sekwojowej, Oliwkowej, Bukowej i Na Stoku w Dobrej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86244E">
      <w:rPr>
        <w:sz w:val="22"/>
        <w:szCs w:val="22"/>
        <w:lang w:eastAsia="en-US"/>
      </w:rPr>
      <w:t>07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D1B89"/>
    <w:rsid w:val="00750B1C"/>
    <w:rsid w:val="007D26B3"/>
    <w:rsid w:val="0086244E"/>
    <w:rsid w:val="008D5DD6"/>
    <w:rsid w:val="00997EB2"/>
    <w:rsid w:val="009D1976"/>
    <w:rsid w:val="00A76558"/>
    <w:rsid w:val="00B84CDC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11</cp:revision>
  <cp:lastPrinted>2017-06-20T10:09:00Z</cp:lastPrinted>
  <dcterms:created xsi:type="dcterms:W3CDTF">2017-07-11T07:33:00Z</dcterms:created>
  <dcterms:modified xsi:type="dcterms:W3CDTF">2018-01-25T10:41:00Z</dcterms:modified>
</cp:coreProperties>
</file>